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BB" w:rsidRPr="00A515BB" w:rsidRDefault="00A515BB" w:rsidP="00A515BB">
      <w:pPr>
        <w:keepNext/>
        <w:keepLines/>
        <w:spacing w:before="200" w:after="0"/>
        <w:ind w:left="1985" w:hanging="198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15BB">
        <w:rPr>
          <w:rFonts w:ascii="Times New Roman" w:eastAsia="Times New Roman" w:hAnsi="Times New Roman" w:cs="Times New Roman"/>
          <w:b/>
          <w:bCs/>
          <w:sz w:val="24"/>
          <w:szCs w:val="24"/>
        </w:rPr>
        <w:t>Сопровождение регионального проекта «Обучение и социализация детей с ОВЗ в инклюзивном образовательном пространстве Новосибирской области»</w:t>
      </w:r>
    </w:p>
    <w:p w:rsidR="00A515BB" w:rsidRPr="00A515BB" w:rsidRDefault="00A515BB" w:rsidP="00A515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Сопровождение регионального проекта «Обучение и социализация детей с ОВЗ в инклюзивном образовательном пространстве Новосибирской области» осуществляется специалистами ОИПП и филиалов (методисты) и включает следующие виды деятельности:</w:t>
      </w:r>
    </w:p>
    <w:p w:rsidR="00A515BB" w:rsidRPr="00A515BB" w:rsidRDefault="00A515BB" w:rsidP="00A515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консультирование специалистов инклюзивных школ (администраторов, кураторов проекта, специалистов сопровождения) по вопросам организации инклюзивного процесса;</w:t>
      </w:r>
    </w:p>
    <w:p w:rsidR="00A515BB" w:rsidRPr="00A515BB" w:rsidRDefault="00A515BB" w:rsidP="00A515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проведение курсов повышения квалификации, семинаров по организации психолого-педагогического сопровождения детей с ОВЗ в условиях инклюзии;</w:t>
      </w:r>
    </w:p>
    <w:p w:rsidR="00A515BB" w:rsidRPr="00A515BB" w:rsidRDefault="00A515BB" w:rsidP="00A515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организация мониторинга инклюзивных школ в рамках проекта;</w:t>
      </w:r>
    </w:p>
    <w:p w:rsidR="00A515BB" w:rsidRPr="00A515BB" w:rsidRDefault="00A515BB" w:rsidP="00A515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подготовка проектов нормативно-правовых документов и методических рекомендаций, формирующих организационную составляющую инклюзии в Новосибирской области.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Вся эта деятельность направлена в первую очередь на то, чтобы инклюзивные школы имели базовую (нормативную, методическую, организационную) основу для обеспечения доступности и качества образования детей с ОВЗ в условиях инклюзии и могли самостоятельно выстраивать инклюзивный процесс.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В связи с тем, что инклюзивное образование по сути своей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инновационно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>, нормативное и методологическое поле его ещё далеко не сформировано, важную роль здесь играет организация сетевого взаимодействия инклюзивных школ (далее ИШ).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Формирование сети выстроено не только через общее информационное пространство (виртуальный диск, почтовый ресурс, интерактивная карта, сайт), но и через непосредственное общение педагогов в режиме стажировочных пунктов, на которых и выстраивается</w:t>
      </w:r>
      <w:r w:rsidRPr="00A51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обучение, </w:t>
      </w:r>
      <w:proofErr w:type="spellStart"/>
      <w:r w:rsidRPr="00A51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взаимообучение</w:t>
      </w:r>
      <w:proofErr w:type="spellEnd"/>
      <w:r w:rsidRPr="00A51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совместное изучение, обмен опытом, проектирование, разработка, апробирование учебно-методических комплексов, методик и технологий образования, новых механизмов управления.</w:t>
      </w:r>
    </w:p>
    <w:p w:rsidR="00A515BB" w:rsidRPr="00A515BB" w:rsidRDefault="00A515BB" w:rsidP="00A515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515BB" w:rsidRPr="00A515BB" w:rsidRDefault="00A515BB" w:rsidP="00A51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A515B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Сетевое взаимодействие в рамках Федеральной стажировочной площадки </w:t>
      </w:r>
    </w:p>
    <w:p w:rsidR="00A515BB" w:rsidRPr="00A515BB" w:rsidRDefault="00A515BB" w:rsidP="00A515BB">
      <w:pPr>
        <w:tabs>
          <w:tab w:val="left" w:pos="6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515B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515BB">
        <w:rPr>
          <w:rFonts w:ascii="Times New Roman" w:eastAsia="Times New Roman" w:hAnsi="Times New Roman" w:cs="Times New Roman"/>
          <w:sz w:val="24"/>
          <w:szCs w:val="24"/>
          <w:lang w:bidi="en-US"/>
        </w:rPr>
        <w:t>Деятельность ОИПП по организации стажировочных пунктов включала:</w:t>
      </w:r>
    </w:p>
    <w:p w:rsidR="00A515BB" w:rsidRPr="00A515BB" w:rsidRDefault="00A515BB" w:rsidP="00A515BB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515BB">
        <w:rPr>
          <w:rFonts w:ascii="Times New Roman" w:eastAsia="Times New Roman" w:hAnsi="Times New Roman" w:cs="Times New Roman"/>
          <w:sz w:val="24"/>
          <w:szCs w:val="24"/>
          <w:lang w:bidi="en-US"/>
        </w:rPr>
        <w:t>Анализ запросов и предложений школ – участников проекта, на формирование стажировочных пунктов;</w:t>
      </w:r>
    </w:p>
    <w:p w:rsidR="00A515BB" w:rsidRPr="00A515BB" w:rsidRDefault="00A515BB" w:rsidP="00A515BB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515BB">
        <w:rPr>
          <w:rFonts w:ascii="Times New Roman" w:eastAsia="Times New Roman" w:hAnsi="Times New Roman" w:cs="Times New Roman"/>
          <w:sz w:val="24"/>
          <w:szCs w:val="24"/>
          <w:lang w:bidi="en-US"/>
        </w:rPr>
        <w:t>Согласование тематик стажировочных пунктов с филиалами;</w:t>
      </w:r>
    </w:p>
    <w:p w:rsidR="00A515BB" w:rsidRPr="00A515BB" w:rsidRDefault="00A515BB" w:rsidP="00A515BB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515BB">
        <w:rPr>
          <w:rFonts w:ascii="Times New Roman" w:eastAsia="Times New Roman" w:hAnsi="Times New Roman" w:cs="Times New Roman"/>
          <w:sz w:val="24"/>
          <w:szCs w:val="24"/>
          <w:lang w:bidi="en-US"/>
        </w:rPr>
        <w:t>Информационное сопровождение работы стажировочных пунктов;</w:t>
      </w:r>
    </w:p>
    <w:p w:rsidR="00A515BB" w:rsidRPr="00A515BB" w:rsidRDefault="00A515BB" w:rsidP="00A515BB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515BB">
        <w:rPr>
          <w:rFonts w:ascii="Times New Roman" w:eastAsia="Times New Roman" w:hAnsi="Times New Roman" w:cs="Times New Roman"/>
          <w:sz w:val="24"/>
          <w:szCs w:val="24"/>
          <w:lang w:bidi="en-US"/>
        </w:rPr>
        <w:t>Сбор, анализ и экспертиза материалов стажировочных пунктов;</w:t>
      </w:r>
    </w:p>
    <w:p w:rsidR="00A515BB" w:rsidRPr="00A515BB" w:rsidRDefault="00A515BB" w:rsidP="00A515BB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515BB">
        <w:rPr>
          <w:rFonts w:ascii="Times New Roman" w:eastAsia="Times New Roman" w:hAnsi="Times New Roman" w:cs="Times New Roman"/>
          <w:sz w:val="24"/>
          <w:szCs w:val="24"/>
          <w:lang w:bidi="en-US"/>
        </w:rPr>
        <w:t>Включение материалов, прошедших экспертизу, в электронный образовательный ресурс инклюзивных школ.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en-US"/>
        </w:rPr>
      </w:pPr>
      <w:r w:rsidRPr="00A515B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Описание деятельности.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515BB">
        <w:rPr>
          <w:rFonts w:ascii="Times New Roman" w:eastAsia="Times New Roman" w:hAnsi="Times New Roman" w:cs="Times New Roman"/>
          <w:sz w:val="24"/>
          <w:szCs w:val="24"/>
          <w:lang w:bidi="en-US"/>
        </w:rPr>
        <w:t>База запросов и предложений от образовательных организаций по проведению стажировочных площадок обновляется регулярно в течение 2015 года. Особенно активно запрос прозвучал во время апрельского выезда – в очных встречах представители инклюзивных школ высказываются гораздо активнее, чем дистанционно, такая форма работы гораздо привычнее и понятнее.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Всего от образовательных организаций поступило 63 предложения по проведению мероприятий в рамках стажировочных пунктов. После анализа полученной информации, который был проведён совместно с филиалами, удалось предварительно наметить </w:t>
      </w:r>
      <w:r w:rsidRPr="00A515BB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основные тематические направления мероприятий и ориентировочное количество стажировочных пунктов (далее СП). После согласований со школами об окончательном варианте темы и формы мероприятия, был составлен «</w:t>
      </w:r>
      <w:r w:rsidRPr="00A515BB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График работы стажировочных пунктов инклюзивных школ на 2015 год», который был размещён на сайте ГБОУ ОЦДК НСО. </w:t>
      </w:r>
      <w:r w:rsidRPr="00A515BB">
        <w:rPr>
          <w:rFonts w:ascii="Times New Roman" w:eastAsia="Calibri" w:hAnsi="Times New Roman" w:cs="Times New Roman"/>
          <w:sz w:val="24"/>
          <w:szCs w:val="24"/>
        </w:rPr>
        <w:t>Заявили себя в качестве стажировочных пунктов (СП) 63 образовательных организации.</w:t>
      </w:r>
    </w:p>
    <w:p w:rsidR="00A515BB" w:rsidRPr="00A515BB" w:rsidRDefault="00A515BB" w:rsidP="00A515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5BB" w:rsidRPr="00A515BB" w:rsidRDefault="00A515BB" w:rsidP="00A515BB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515BB">
        <w:rPr>
          <w:rFonts w:ascii="Times New Roman" w:eastAsia="Calibri" w:hAnsi="Times New Roman" w:cs="Times New Roman"/>
          <w:i/>
          <w:sz w:val="24"/>
          <w:szCs w:val="24"/>
        </w:rPr>
        <w:t>Таблица 1</w:t>
      </w:r>
    </w:p>
    <w:p w:rsidR="00A515BB" w:rsidRPr="00A515BB" w:rsidRDefault="00A515BB" w:rsidP="00A515B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15BB">
        <w:rPr>
          <w:rFonts w:ascii="Times New Roman" w:eastAsia="Calibri" w:hAnsi="Times New Roman" w:cs="Times New Roman"/>
          <w:b/>
          <w:sz w:val="24"/>
          <w:szCs w:val="24"/>
        </w:rPr>
        <w:t xml:space="preserve">Соотношение мероприятий стажировочных пунктов </w:t>
      </w:r>
      <w:r w:rsidRPr="00A515BB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к тематической направленности </w:t>
      </w:r>
    </w:p>
    <w:tbl>
      <w:tblPr>
        <w:tblW w:w="9005" w:type="dxa"/>
        <w:tblInd w:w="93" w:type="dxa"/>
        <w:tblLook w:val="04A0" w:firstRow="1" w:lastRow="0" w:firstColumn="1" w:lastColumn="0" w:noHBand="0" w:noVBand="1"/>
      </w:tblPr>
      <w:tblGrid>
        <w:gridCol w:w="7385"/>
        <w:gridCol w:w="1648"/>
      </w:tblGrid>
      <w:tr w:rsidR="00A515BB" w:rsidRPr="00A515BB" w:rsidTr="00644AE4">
        <w:trPr>
          <w:trHeight w:val="300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5BB" w:rsidRPr="00A515BB" w:rsidRDefault="00A515BB" w:rsidP="00A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Тематическая направленность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5BB" w:rsidRPr="00A515BB" w:rsidRDefault="00A515BB" w:rsidP="00A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A515BB" w:rsidRPr="00A515BB" w:rsidTr="00644AE4">
        <w:trPr>
          <w:trHeight w:val="300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5BB" w:rsidRPr="00A515BB" w:rsidRDefault="00A515BB" w:rsidP="00A5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инклюзивной культуры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5BB" w:rsidRPr="00A515BB" w:rsidRDefault="00A515BB" w:rsidP="00A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15BB" w:rsidRPr="00A515BB" w:rsidTr="00644AE4">
        <w:trPr>
          <w:trHeight w:val="300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5BB" w:rsidRPr="00A515BB" w:rsidRDefault="00A515BB" w:rsidP="00A5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инклюзивной политики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5BB" w:rsidRPr="00A515BB" w:rsidRDefault="00A515BB" w:rsidP="00A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515BB" w:rsidRPr="00A515BB" w:rsidTr="00644AE4">
        <w:trPr>
          <w:trHeight w:val="300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5BB" w:rsidRPr="00A515BB" w:rsidRDefault="00A515BB" w:rsidP="00A5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инклюзивной практики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5BB" w:rsidRPr="00A515BB" w:rsidRDefault="00A515BB" w:rsidP="00A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515BB" w:rsidRPr="00A515BB" w:rsidTr="00644AE4">
        <w:trPr>
          <w:trHeight w:val="300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5BB" w:rsidRPr="00A515BB" w:rsidRDefault="00A515BB" w:rsidP="00A5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системы оценки образовательных достижений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5BB" w:rsidRPr="00A515BB" w:rsidRDefault="00A515BB" w:rsidP="00A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515BB" w:rsidRPr="00A515BB" w:rsidTr="00644AE4">
        <w:trPr>
          <w:trHeight w:val="300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5BB" w:rsidRPr="00A515BB" w:rsidRDefault="00A515BB" w:rsidP="00A5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ППМС сопровождение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5BB" w:rsidRPr="00A515BB" w:rsidRDefault="00A515BB" w:rsidP="00A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515BB" w:rsidRPr="00A515BB" w:rsidTr="00644AE4">
        <w:trPr>
          <w:trHeight w:val="300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5BB" w:rsidRPr="00A515BB" w:rsidRDefault="00A515BB" w:rsidP="00A5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АОП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5BB" w:rsidRPr="00A515BB" w:rsidRDefault="00A515BB" w:rsidP="00A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515BB" w:rsidRPr="00A515BB" w:rsidTr="00644AE4">
        <w:trPr>
          <w:trHeight w:val="300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5BB" w:rsidRPr="00A515BB" w:rsidRDefault="00A515BB" w:rsidP="00A5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 детей с ОВЗ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5BB" w:rsidRPr="00A515BB" w:rsidRDefault="00A515BB" w:rsidP="00A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515BB" w:rsidRPr="00A515BB" w:rsidTr="00644AE4">
        <w:trPr>
          <w:trHeight w:val="300"/>
        </w:trPr>
        <w:tc>
          <w:tcPr>
            <w:tcW w:w="7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5BB" w:rsidRPr="00A515BB" w:rsidRDefault="00A515BB" w:rsidP="00A51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A5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A5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мониторинга инклюзивного процесса (ВМ ИП)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515BB" w:rsidRPr="00A515BB" w:rsidRDefault="00A515BB" w:rsidP="00A51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515BB" w:rsidRPr="00A515BB" w:rsidRDefault="00A515BB" w:rsidP="00A515B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1 представлено соотношение мероприятий, которые проводились в рамках стажировочных пунктов в школах – участниках проекта по тематической направленности.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Всего за 2015 год в рамках деятельности Федеральной стажировочной площадки, на базах школ – участников регионального проекта было организовано и проведено 58 стажировочных пунктов, 3 стажировочных пункта были перенесены на 2016 год по уважительным причинам.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Половинская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СОШ Краснозёрского р-она отказалась от проведения стажировочной площадки по причине увольнения психолога. Не подтверждено участие МК</w:t>
      </w:r>
      <w:proofErr w:type="gramStart"/>
      <w:r w:rsidRPr="00A515BB">
        <w:rPr>
          <w:rFonts w:ascii="Times New Roman" w:eastAsia="Calibri" w:hAnsi="Times New Roman" w:cs="Times New Roman"/>
          <w:sz w:val="24"/>
          <w:szCs w:val="24"/>
        </w:rPr>
        <w:t>С(</w:t>
      </w:r>
      <w:proofErr w:type="gramEnd"/>
      <w:r w:rsidRPr="00A515BB">
        <w:rPr>
          <w:rFonts w:ascii="Times New Roman" w:eastAsia="Calibri" w:hAnsi="Times New Roman" w:cs="Times New Roman"/>
          <w:sz w:val="24"/>
          <w:szCs w:val="24"/>
        </w:rPr>
        <w:t>К) ОУ школа-интернат №39. Всего в работе стажировочных пунктов приняли участие около полутора тысяч специалистов из различных образовательных организаций области.</w:t>
      </w:r>
    </w:p>
    <w:p w:rsidR="00A515BB" w:rsidRPr="00A515BB" w:rsidRDefault="00A515BB" w:rsidP="00A515B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В работе СП приняли участие не только специалисты школ – участников регионального проекта, но и специалисты из образовательных организаций, не включенных в проект. Это говорит о заинтересованности школ в таком формате взаимодействия, а отзывы, получаемые от участников, говорят об эффективности этой работы.</w:t>
      </w:r>
    </w:p>
    <w:p w:rsidR="00A515BB" w:rsidRPr="00A515BB" w:rsidRDefault="00A515BB" w:rsidP="00A515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15BB" w:rsidRPr="00A515BB" w:rsidRDefault="00A515BB" w:rsidP="00A515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15BB">
        <w:rPr>
          <w:rFonts w:ascii="Times New Roman" w:eastAsia="Calibri" w:hAnsi="Times New Roman" w:cs="Times New Roman"/>
          <w:b/>
          <w:sz w:val="24"/>
          <w:szCs w:val="24"/>
        </w:rPr>
        <w:t>Мониторинг инклюзивных школ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Мониторинг 2015 года выстроен на той же основе, что и мониторинг-2014 и был направлен на выявление позиции школ в формировании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мониторинга, выполняя инициирующую функцию – в перспективе каждая инклюзивная школа должна уметь самостоятельно определять уровень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инклюзивных процессов в образовательной организации. Фактически при этом определяется уровень самостоятельности школ и формируется запрос на помощь.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Таблицы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включают в себя онлайн-опросник, </w:t>
      </w:r>
      <w:proofErr w:type="gramStart"/>
      <w:r w:rsidRPr="00A515BB">
        <w:rPr>
          <w:rFonts w:ascii="Times New Roman" w:eastAsia="Calibri" w:hAnsi="Times New Roman" w:cs="Times New Roman"/>
          <w:sz w:val="24"/>
          <w:szCs w:val="24"/>
        </w:rPr>
        <w:t>состоящий</w:t>
      </w:r>
      <w:proofErr w:type="gram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из 11 утверждений и направленный на определение субъективного ощущения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инклюзивных процессов, и три табличных приложения:</w:t>
      </w:r>
    </w:p>
    <w:p w:rsidR="00A515BB" w:rsidRPr="00A515BB" w:rsidRDefault="00A515BB" w:rsidP="00A515B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15BB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«Критерии и показатели </w:t>
      </w:r>
      <w:proofErr w:type="spellStart"/>
      <w:r w:rsidRPr="00A515BB">
        <w:rPr>
          <w:rFonts w:ascii="Times New Roman" w:eastAsia="Calibri" w:hAnsi="Times New Roman" w:cs="Times New Roman"/>
          <w:i/>
          <w:sz w:val="24"/>
          <w:szCs w:val="24"/>
        </w:rPr>
        <w:t>внутришкольного</w:t>
      </w:r>
      <w:proofErr w:type="spellEnd"/>
      <w:r w:rsidRPr="00A515BB">
        <w:rPr>
          <w:rFonts w:ascii="Times New Roman" w:eastAsia="Calibri" w:hAnsi="Times New Roman" w:cs="Times New Roman"/>
          <w:i/>
          <w:sz w:val="24"/>
          <w:szCs w:val="24"/>
        </w:rPr>
        <w:t xml:space="preserve"> мониторинга» – заполняется, если эксперты согласны с утверждением, что в их образовательной организации создана система </w:t>
      </w:r>
      <w:proofErr w:type="spellStart"/>
      <w:r w:rsidRPr="00A515BB">
        <w:rPr>
          <w:rFonts w:ascii="Times New Roman" w:eastAsia="Calibri" w:hAnsi="Times New Roman" w:cs="Times New Roman"/>
          <w:i/>
          <w:sz w:val="24"/>
          <w:szCs w:val="24"/>
        </w:rPr>
        <w:t>внутришкольного</w:t>
      </w:r>
      <w:proofErr w:type="spellEnd"/>
      <w:r w:rsidRPr="00A515BB">
        <w:rPr>
          <w:rFonts w:ascii="Times New Roman" w:eastAsia="Calibri" w:hAnsi="Times New Roman" w:cs="Times New Roman"/>
          <w:i/>
          <w:sz w:val="24"/>
          <w:szCs w:val="24"/>
        </w:rPr>
        <w:t xml:space="preserve"> мониторинга;</w:t>
      </w:r>
    </w:p>
    <w:p w:rsidR="00A515BB" w:rsidRPr="00A515BB" w:rsidRDefault="00A515BB" w:rsidP="00A515B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15BB">
        <w:rPr>
          <w:rFonts w:ascii="Times New Roman" w:eastAsia="Calibri" w:hAnsi="Times New Roman" w:cs="Times New Roman"/>
          <w:i/>
          <w:sz w:val="24"/>
          <w:szCs w:val="24"/>
        </w:rPr>
        <w:t xml:space="preserve"> «Динамика образовательных достижений детей в условиях инклюзии» - заполняется, если эксперты удовлетворены динамикой образовательных достижений в инклюзивных классах;</w:t>
      </w:r>
    </w:p>
    <w:p w:rsidR="00A515BB" w:rsidRPr="00A515BB" w:rsidRDefault="00A515BB" w:rsidP="00A515B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15BB">
        <w:rPr>
          <w:rFonts w:ascii="Times New Roman" w:eastAsia="Calibri" w:hAnsi="Times New Roman" w:cs="Times New Roman"/>
          <w:i/>
          <w:sz w:val="24"/>
          <w:szCs w:val="24"/>
        </w:rPr>
        <w:t xml:space="preserve">«Запрос на помощь в организации </w:t>
      </w:r>
      <w:proofErr w:type="spellStart"/>
      <w:r w:rsidRPr="00A515BB">
        <w:rPr>
          <w:rFonts w:ascii="Times New Roman" w:eastAsia="Calibri" w:hAnsi="Times New Roman" w:cs="Times New Roman"/>
          <w:i/>
          <w:sz w:val="24"/>
          <w:szCs w:val="24"/>
        </w:rPr>
        <w:t>внутришкольного</w:t>
      </w:r>
      <w:proofErr w:type="spellEnd"/>
      <w:r w:rsidRPr="00A515BB">
        <w:rPr>
          <w:rFonts w:ascii="Times New Roman" w:eastAsia="Calibri" w:hAnsi="Times New Roman" w:cs="Times New Roman"/>
          <w:i/>
          <w:sz w:val="24"/>
          <w:szCs w:val="24"/>
        </w:rPr>
        <w:t xml:space="preserve"> мониторинга» - заполняется, если эксперты полагают, что образовательной организации требуется методическая, организационная и/или практическая помощь. </w:t>
      </w:r>
    </w:p>
    <w:p w:rsidR="00A515BB" w:rsidRPr="00A515BB" w:rsidRDefault="00A515BB" w:rsidP="00A515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5BB" w:rsidRPr="00A515BB" w:rsidRDefault="00A515BB" w:rsidP="00A515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Мониторинговое исследование было запущено с</w:t>
      </w:r>
      <w:proofErr w:type="gramStart"/>
      <w:r w:rsidRPr="00A515BB"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ноября со сроком подачи материалов 30 ноября 2015 года. К указанному сроку поступили материалы от 78% образовательных организаций, участвующих в проекте: 96% от школ области (92 ОО) и 60% от школ г. Новосибирска (10 ОО)</w:t>
      </w:r>
      <w:proofErr w:type="gramStart"/>
      <w:r w:rsidRPr="00A515BB">
        <w:rPr>
          <w:rFonts w:ascii="Times New Roman" w:eastAsia="Calibri" w:hAnsi="Times New Roman" w:cs="Times New Roman"/>
          <w:sz w:val="24"/>
          <w:szCs w:val="24"/>
        </w:rPr>
        <w:t>.Ш</w:t>
      </w:r>
      <w:proofErr w:type="gram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есть образовательных организаций выведены из проекта (в двух – отсутствие детей с ОВЗ, 4 ОО в связи с крайне низкой эффективностью деятельности), пять из них в мониторинге не участвовали. </w:t>
      </w:r>
    </w:p>
    <w:p w:rsidR="00A515BB" w:rsidRPr="00A515BB" w:rsidRDefault="00A515BB" w:rsidP="00A515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Пакет документов был направлен в каждую школу через электронную почту, дополнительно </w:t>
      </w:r>
      <w:proofErr w:type="gramStart"/>
      <w:r w:rsidRPr="00A515BB">
        <w:rPr>
          <w:rFonts w:ascii="Times New Roman" w:eastAsia="Calibri" w:hAnsi="Times New Roman" w:cs="Times New Roman"/>
          <w:sz w:val="24"/>
          <w:szCs w:val="24"/>
        </w:rPr>
        <w:t>размещена</w:t>
      </w:r>
      <w:proofErr w:type="gram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на общем почтовом сервисе и продублирована через филиалы.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В ноябре-декабре осуществлялось сопровождение 1 этапа мониторинга. Были проведены консультации экспертных групп из 28 школ по вопросам: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- заполнение онлайн – опросника – 8 консультаций;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- заполнение таблицы№1 – 12 консультаций;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- заполнение таблицы№2 – 5 консультаций;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- заполнение таблицы №3 – 6 консультаций.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Следует отметить, что по сравнению с 2014 годом самостоятельность школ в заполнении таблиц оказалась существенно выше.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Для фиксации получаемых результатов, были составлены 2 сводные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таблицы</w:t>
      </w:r>
      <w:proofErr w:type="gramStart"/>
      <w:r w:rsidRPr="00A515BB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A515BB">
        <w:rPr>
          <w:rFonts w:ascii="Times New Roman" w:eastAsia="Calibri" w:hAnsi="Times New Roman" w:cs="Times New Roman"/>
          <w:sz w:val="24"/>
          <w:szCs w:val="24"/>
        </w:rPr>
        <w:t>ервая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таблица предназначалась для анализа результатов полученных из онлайн – опросника, во второй таблице помещались обобщённые данные из таблиц самоанализа. </w:t>
      </w:r>
    </w:p>
    <w:p w:rsidR="00A515BB" w:rsidRPr="00A515BB" w:rsidRDefault="00A515BB" w:rsidP="00A515B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Результаты первого этапа представлены в справке.</w:t>
      </w:r>
    </w:p>
    <w:p w:rsidR="00A515BB" w:rsidRPr="00A515BB" w:rsidRDefault="00A515BB" w:rsidP="00A515BB">
      <w:pPr>
        <w:keepNext/>
        <w:keepLines/>
        <w:spacing w:before="200" w:after="0"/>
        <w:jc w:val="center"/>
        <w:outlineLvl w:val="3"/>
        <w:rPr>
          <w:rFonts w:ascii="Cambria" w:eastAsia="Times New Roman" w:hAnsi="Cambria" w:cs="Times New Roman"/>
          <w:b/>
          <w:bCs/>
          <w:i/>
          <w:iCs/>
        </w:rPr>
      </w:pPr>
      <w:bookmarkStart w:id="0" w:name="_Справкапо_статистическим_данным"/>
      <w:bookmarkEnd w:id="0"/>
      <w:r w:rsidRPr="00A515BB">
        <w:rPr>
          <w:rFonts w:ascii="Cambria" w:eastAsia="Times New Roman" w:hAnsi="Cambria" w:cs="Times New Roman"/>
          <w:b/>
          <w:bCs/>
          <w:i/>
          <w:iCs/>
        </w:rPr>
        <w:t>Справка по статистическим данным 1 этапа мониторинга инклюзивных школ</w:t>
      </w:r>
    </w:p>
    <w:p w:rsidR="00A515BB" w:rsidRPr="00A515BB" w:rsidRDefault="00A515BB" w:rsidP="00A515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15BB">
        <w:rPr>
          <w:rFonts w:ascii="Times New Roman" w:eastAsia="Calibri" w:hAnsi="Times New Roman" w:cs="Times New Roman"/>
          <w:b/>
          <w:sz w:val="24"/>
          <w:szCs w:val="24"/>
        </w:rPr>
        <w:t>- участников регионального проекта «Обучение и социализация детей с ОВЗ в инклюзивном образовательном пространстве Новосибирской области»</w:t>
      </w:r>
      <w:r w:rsidRPr="00A515BB">
        <w:rPr>
          <w:rFonts w:ascii="Times New Roman" w:eastAsia="Calibri" w:hAnsi="Times New Roman" w:cs="Times New Roman"/>
          <w:b/>
          <w:sz w:val="24"/>
          <w:szCs w:val="24"/>
        </w:rPr>
        <w:br/>
        <w:t>в 2015</w:t>
      </w:r>
    </w:p>
    <w:p w:rsidR="00A515BB" w:rsidRPr="00A515BB" w:rsidRDefault="00A515BB" w:rsidP="00A515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5BB" w:rsidRPr="00A515BB" w:rsidRDefault="00A515BB" w:rsidP="00A515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Порядком организации мониторинга реализации регионального проекта, согласованным с министерством образования, науки и инновационной политики, мониторинг инклюзивных школ в 2014 году с 9 ноября 2014г. по 15 декабря 2015 г. состоялся первый этап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мониторинга, который включал в себя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самообследование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организаций. Второй этап - внешний мониторинг - запланирован на февраль 2015 года и будет проведён на основании добровольного согласия и самостоятельного запроса образовательных организаций. В настоящее время поступило 11 заявок (10% от общего числа инклюзивных школ) с запросом на проведение внешнего мониторинга. </w:t>
      </w:r>
    </w:p>
    <w:p w:rsidR="00A515BB" w:rsidRPr="00A515BB" w:rsidRDefault="00A515BB" w:rsidP="00A515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По состоянию на 25 декабря 2015 года получены материалы по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из 108 образовательных организаций, проведена статистическая обработка результатов. Содержательный анализ полученных данных мониторинга планируется закончить в марте 2015 года с учётом результатов второго этапа. В настоящее время проводится формирование пакета инструментов и подготовка экспертов для второго этапа.</w:t>
      </w:r>
    </w:p>
    <w:p w:rsidR="00A515BB" w:rsidRPr="00A515BB" w:rsidRDefault="00A515BB" w:rsidP="00A515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lastRenderedPageBreak/>
        <w:t>На первом этапе в качестве экспертов выступала административная группа школы, в состав которой во многих инклюзивных школах включались педагоги. Таким образом, количество экспертов в инклюзивных школах варьировалось от 2 до 21 человека.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Основным критерием мониторинга является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и динамика инклюзивных процессов в школе по показателям: наличие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мониторинга, уровень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инклюзивных культуры, политики, практики; наличие системы оценки образовательных достижений детей с ОВЗ в условиях инклюзии; успешность детей (академическая, социальная, внутренняя субъективная). </w:t>
      </w:r>
    </w:p>
    <w:p w:rsidR="00A515BB" w:rsidRPr="00A515BB" w:rsidRDefault="00A515BB" w:rsidP="00A515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Эксперты заполняли онлайн-опросник, состоящий из 11 утверждений, направленный на определение субъективного ощущения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инклюзивных процессов. Опросник имеет три приложения в формате таблиц </w:t>
      </w:r>
      <w:r w:rsidRPr="00A515BB">
        <w:rPr>
          <w:rFonts w:ascii="Times New Roman" w:eastAsia="Calibri" w:hAnsi="Times New Roman" w:cs="Times New Roman"/>
          <w:sz w:val="24"/>
          <w:szCs w:val="24"/>
          <w:lang w:val="en-US"/>
        </w:rPr>
        <w:t>Excel</w:t>
      </w:r>
      <w:r w:rsidRPr="00A515B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15BB" w:rsidRPr="00A515BB" w:rsidRDefault="00A515BB" w:rsidP="00A515BB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«Критерии и показатели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мониторинга» – заполняется, если эксперты согласны с утверждением, что в их образовательной организации создана система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мониторинга;</w:t>
      </w:r>
    </w:p>
    <w:p w:rsidR="00A515BB" w:rsidRPr="00A515BB" w:rsidRDefault="00A515BB" w:rsidP="00A515BB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«Динамика образовательных достижений детей в условиях инклюзии» - заполняется, если эксперты удовлетворены динамикой образовательных достижений в инклюзивных классах;</w:t>
      </w:r>
    </w:p>
    <w:p w:rsidR="00A515BB" w:rsidRPr="00A515BB" w:rsidRDefault="00A515BB" w:rsidP="00A515BB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«Запрос на помощь в организации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мониторинга» - заполняется, если эксперты полагают, что образовательной организации требуется методическая, организационная и/или практическая помощь.  </w:t>
      </w:r>
    </w:p>
    <w:p w:rsidR="00A515BB" w:rsidRPr="00A515BB" w:rsidRDefault="00A515BB" w:rsidP="00A515B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Заполнение опросника и таблиц требует определённого уровня понимания инклюзивных процессов и умения анализировать собственную деятельность. Интегративный результат обработки опросника позволяет не только определить субъективное восприятие экспертами уровня и динамики формирования инклюзивных процессов в школе, но и объективизировать его.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В первом этапе мониторинга из 113 образовательных организаций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A515BB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A515BB">
        <w:rPr>
          <w:rFonts w:ascii="Times New Roman" w:eastAsia="Calibri" w:hAnsi="Times New Roman" w:cs="Times New Roman"/>
          <w:sz w:val="24"/>
          <w:szCs w:val="24"/>
        </w:rPr>
        <w:t>овосибирска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и Новосибирской области, входящих в проект, приняли участие 108 школ. Общее количество экспертов составило 531 человек.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Три школы отказались от участия в мониторинге и заявили о выходе из проекта ещё в 2014 году:</w:t>
      </w:r>
    </w:p>
    <w:p w:rsidR="00A515BB" w:rsidRPr="00A515BB" w:rsidRDefault="00A515BB" w:rsidP="00A515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МКОУ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Баганская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СОШ №1 (15 детей с ОВЗ)</w:t>
      </w:r>
    </w:p>
    <w:p w:rsidR="00A515BB" w:rsidRPr="00A515BB" w:rsidRDefault="00A515BB" w:rsidP="00A515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МКОУ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Сузунская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СОШ №1 (15 детей с ОВЗ)</w:t>
      </w:r>
    </w:p>
    <w:p w:rsidR="00A515BB" w:rsidRPr="00A515BB" w:rsidRDefault="00A515BB" w:rsidP="00A515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МБОУ СОШ №60 г. Обь. (12 детей с ОВЗ)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Однако вывод их из проекта не был нормативно обоснован. Только в октябре 2015 году подготовлен соответствующий приказ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НСО (на данный момент приказ всё ещё не подписан).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ЧОУ СОШ «Аврора» выводится из проекта как негосударственная образовательная организация.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5BB" w:rsidRPr="00A515BB" w:rsidRDefault="00A515BB" w:rsidP="00A515BB">
      <w:pPr>
        <w:spacing w:after="0"/>
        <w:rPr>
          <w:rFonts w:ascii="Times New Roman" w:eastAsia="Calibri" w:hAnsi="Times New Roman" w:cs="Times New Roman"/>
          <w:b/>
        </w:rPr>
      </w:pPr>
      <w:r w:rsidRPr="00A515BB">
        <w:rPr>
          <w:rFonts w:ascii="Times New Roman" w:eastAsia="Calibri" w:hAnsi="Times New Roman" w:cs="Times New Roman"/>
          <w:b/>
        </w:rPr>
        <w:t>Общие сведения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детей, обучающихся в школах регионального проекта</w:t>
      </w:r>
      <w:r w:rsidRPr="00A515B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</w:t>
      </w:r>
      <w:r w:rsidRPr="00A515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40584</w:t>
      </w:r>
      <w:r w:rsidRPr="00A51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чел.;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них детей с ОВЗ– </w:t>
      </w:r>
      <w:r w:rsidRPr="00A515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2863</w:t>
      </w:r>
      <w:r w:rsidRPr="00A51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 (7%)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детей с ОВЗ, которым психолого-медико-педагогической комиссией установлен статус «ребёнок с ОВЗ» – </w:t>
      </w:r>
      <w:r w:rsidRPr="00A515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2148</w:t>
      </w:r>
      <w:r w:rsidRPr="00A51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(75%  от общего количества детей с ОВЗ – в 2014 году 53%). За 2015 год в инклюзивных школах статус установлен почти 800 обучающимся.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детей с ОВЗ в коррекционных классах – </w:t>
      </w:r>
      <w:r w:rsidRPr="00A515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987</w:t>
      </w:r>
      <w:r w:rsidRPr="00A51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 (34%), количество детей с ОВЗ в инклюзивных классах – </w:t>
      </w:r>
      <w:r w:rsidRPr="00A515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1876</w:t>
      </w:r>
      <w:r w:rsidRPr="00A51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 (65%).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Количество коррекционных классов в ОО – </w:t>
      </w:r>
      <w:r w:rsidRPr="00A515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103 </w:t>
      </w:r>
      <w:r w:rsidRPr="00A51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(увеличилось на 12),количество инклюзивных классов в ОО – </w:t>
      </w:r>
      <w:r w:rsidRPr="00A515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896</w:t>
      </w:r>
      <w:r w:rsidRPr="00A51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2014 году – 867).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51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Полностью включены в образовательный процесс </w:t>
      </w:r>
      <w:r w:rsidRPr="00A515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2028</w:t>
      </w:r>
      <w:r w:rsidRPr="00A51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 с ОВЗ, частично – </w:t>
      </w:r>
      <w:r w:rsidRPr="00A515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312</w:t>
      </w:r>
      <w:r w:rsidRPr="00A51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эпизодически – </w:t>
      </w:r>
      <w:r w:rsidRPr="00A515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166</w:t>
      </w:r>
      <w:r w:rsidRPr="00A515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 Таким образом, инклюзивные процессы выстраиваются не только в общеобразовательных, но и в части коррекционных классов (для 54% детей, обучающихся в них) – то есть коррекционный класс становится инклюзивным при включении в образовательный процесс детей со сложными дефектами.</w:t>
      </w:r>
      <w:proofErr w:type="gramEnd"/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Распределение мнения школьных экспертов в части удовлетворённости состоянием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мониторинга в своих образовательных организациях (гистограмма 1) позволяет сделать вывод о достаточной степени объективности экспертов в оценке собственных достижений. </w:t>
      </w:r>
    </w:p>
    <w:p w:rsidR="00A515BB" w:rsidRPr="00A515BB" w:rsidRDefault="00A515BB" w:rsidP="00A515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515BB" w:rsidRPr="00A515BB" w:rsidRDefault="00A515BB" w:rsidP="00A515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515BB">
        <w:rPr>
          <w:rFonts w:ascii="Times New Roman" w:eastAsia="Calibri" w:hAnsi="Times New Roman" w:cs="Times New Roman"/>
          <w:i/>
          <w:sz w:val="24"/>
          <w:szCs w:val="24"/>
        </w:rPr>
        <w:t>Гистограмма 1.</w:t>
      </w:r>
    </w:p>
    <w:p w:rsidR="00A515BB" w:rsidRPr="00A515BB" w:rsidRDefault="00A515BB" w:rsidP="00A515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F01E65" wp14:editId="6ACAEAFF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Администрация 98 (в 2014 году – 48) школ отмечает, что в их образовательных организациях существует система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мониторинга инклюзивных процессов. Эксперты этих школ заполнили две таблицы приложений к опроснику: таблицу 1 «Критерии и показатели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мониторинга» и таблицу 2 «Динамика образовательных достижений детей в инклюзивных классах». 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Практически все школы, которые в 2014 году только проектировали организацию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мониторинга, в 2015 году его выстраивают. Практически все школы приняли к использованию инструментарий, применяемый в прошлом году на втором этапе мониторинга.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5BB" w:rsidRPr="00A515BB" w:rsidRDefault="00A515BB" w:rsidP="00A515BB">
      <w:pPr>
        <w:spacing w:after="0"/>
        <w:rPr>
          <w:rFonts w:ascii="Times New Roman" w:eastAsia="Calibri" w:hAnsi="Times New Roman" w:cs="Times New Roman"/>
          <w:b/>
          <w:bCs/>
        </w:rPr>
      </w:pPr>
      <w:r w:rsidRPr="00A515BB">
        <w:rPr>
          <w:rFonts w:ascii="Times New Roman" w:eastAsia="Calibri" w:hAnsi="Times New Roman" w:cs="Times New Roman"/>
          <w:b/>
          <w:bCs/>
        </w:rPr>
        <w:t xml:space="preserve">Самооценка </w:t>
      </w:r>
      <w:proofErr w:type="spellStart"/>
      <w:r w:rsidRPr="00A515BB">
        <w:rPr>
          <w:rFonts w:ascii="Times New Roman" w:eastAsia="Calibri" w:hAnsi="Times New Roman" w:cs="Times New Roman"/>
          <w:b/>
          <w:bCs/>
        </w:rPr>
        <w:t>сформированности</w:t>
      </w:r>
      <w:proofErr w:type="spellEnd"/>
      <w:r w:rsidRPr="00A515BB">
        <w:rPr>
          <w:rFonts w:ascii="Times New Roman" w:eastAsia="Calibri" w:hAnsi="Times New Roman" w:cs="Times New Roman"/>
          <w:b/>
          <w:bCs/>
        </w:rPr>
        <w:t xml:space="preserve"> инклюзивных процессов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Данные из опросника, представленные в таблице 1, показывают мнение экспертов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а) о процессах формирования инклюзивной культуры, политики и практики и удовлетворённости этими процессами;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б) о наличии в ОО системы оценки образовательных достижений детей в условиях инклюзии и </w:t>
      </w:r>
      <w:proofErr w:type="gramStart"/>
      <w:r w:rsidRPr="00A515BB">
        <w:rPr>
          <w:rFonts w:ascii="Times New Roman" w:eastAsia="Calibri" w:hAnsi="Times New Roman" w:cs="Times New Roman"/>
          <w:sz w:val="24"/>
          <w:szCs w:val="24"/>
        </w:rPr>
        <w:t>удовлетворённости</w:t>
      </w:r>
      <w:proofErr w:type="gram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имеющимся инструментарием;</w:t>
      </w:r>
    </w:p>
    <w:p w:rsidR="00A515BB" w:rsidRPr="00A515BB" w:rsidRDefault="00A515BB" w:rsidP="00A515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515BB">
        <w:rPr>
          <w:rFonts w:ascii="Times New Roman" w:eastAsia="Calibri" w:hAnsi="Times New Roman" w:cs="Times New Roman"/>
          <w:i/>
          <w:sz w:val="24"/>
          <w:szCs w:val="24"/>
        </w:rPr>
        <w:t>Таблица 1</w:t>
      </w: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7197"/>
        <w:gridCol w:w="1334"/>
        <w:gridCol w:w="1216"/>
      </w:tblGrid>
      <w:tr w:rsidR="00A515BB" w:rsidRPr="00A515BB" w:rsidTr="00644AE4">
        <w:tc>
          <w:tcPr>
            <w:tcW w:w="7427" w:type="dxa"/>
            <w:vMerge w:val="restart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Утверждения</w:t>
            </w:r>
          </w:p>
        </w:tc>
        <w:tc>
          <w:tcPr>
            <w:tcW w:w="2602" w:type="dxa"/>
            <w:gridSpan w:val="2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школ</w:t>
            </w:r>
          </w:p>
        </w:tc>
      </w:tr>
      <w:tr w:rsidR="00A515BB" w:rsidRPr="00A515BB" w:rsidTr="00644AE4">
        <w:tc>
          <w:tcPr>
            <w:tcW w:w="7427" w:type="dxa"/>
            <w:vMerge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62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1240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</w:t>
            </w:r>
          </w:p>
        </w:tc>
      </w:tr>
      <w:tr w:rsidR="00A515BB" w:rsidRPr="00A515BB" w:rsidTr="00644AE4">
        <w:tc>
          <w:tcPr>
            <w:tcW w:w="7427" w:type="dxa"/>
          </w:tcPr>
          <w:p w:rsidR="00A515BB" w:rsidRPr="00A515BB" w:rsidRDefault="00A515BB" w:rsidP="00A515B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образовательной организации организована система </w:t>
            </w:r>
            <w:proofErr w:type="spellStart"/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внутришкольного</w:t>
            </w:r>
            <w:proofErr w:type="spellEnd"/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мониторинга инклюзивного процесса</w:t>
            </w:r>
          </w:p>
        </w:tc>
        <w:tc>
          <w:tcPr>
            <w:tcW w:w="1362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48</w:t>
            </w:r>
          </w:p>
        </w:tc>
        <w:tc>
          <w:tcPr>
            <w:tcW w:w="1240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98</w:t>
            </w:r>
          </w:p>
        </w:tc>
      </w:tr>
      <w:tr w:rsidR="00A515BB" w:rsidRPr="00A515BB" w:rsidTr="00644AE4">
        <w:trPr>
          <w:trHeight w:val="283"/>
        </w:trPr>
        <w:tc>
          <w:tcPr>
            <w:tcW w:w="7427" w:type="dxa"/>
          </w:tcPr>
          <w:p w:rsidR="00A515BB" w:rsidRPr="00A515BB" w:rsidRDefault="00A515BB" w:rsidP="00A515B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 образовательной организации формируется инклюзивная культура</w:t>
            </w:r>
          </w:p>
        </w:tc>
        <w:tc>
          <w:tcPr>
            <w:tcW w:w="1362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106</w:t>
            </w:r>
          </w:p>
        </w:tc>
        <w:tc>
          <w:tcPr>
            <w:tcW w:w="1240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108</w:t>
            </w:r>
          </w:p>
        </w:tc>
      </w:tr>
      <w:tr w:rsidR="00A515BB" w:rsidRPr="00A515BB" w:rsidTr="00644AE4">
        <w:trPr>
          <w:trHeight w:val="283"/>
        </w:trPr>
        <w:tc>
          <w:tcPr>
            <w:tcW w:w="7427" w:type="dxa"/>
          </w:tcPr>
          <w:p w:rsidR="00A515BB" w:rsidRPr="00A515BB" w:rsidRDefault="00A515BB" w:rsidP="00A515B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Удовлетворенность динамикой формирования культуры</w:t>
            </w:r>
          </w:p>
        </w:tc>
        <w:tc>
          <w:tcPr>
            <w:tcW w:w="1362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  <w:tc>
          <w:tcPr>
            <w:tcW w:w="1240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103</w:t>
            </w:r>
          </w:p>
        </w:tc>
      </w:tr>
      <w:tr w:rsidR="00A515BB" w:rsidRPr="00A515BB" w:rsidTr="00644AE4">
        <w:trPr>
          <w:trHeight w:val="283"/>
        </w:trPr>
        <w:tc>
          <w:tcPr>
            <w:tcW w:w="7427" w:type="dxa"/>
          </w:tcPr>
          <w:p w:rsidR="00A515BB" w:rsidRPr="00A515BB" w:rsidRDefault="00A515BB" w:rsidP="00A515B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В образовательной организации формируется инклюзивная политика</w:t>
            </w:r>
          </w:p>
        </w:tc>
        <w:tc>
          <w:tcPr>
            <w:tcW w:w="1362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107</w:t>
            </w:r>
          </w:p>
        </w:tc>
        <w:tc>
          <w:tcPr>
            <w:tcW w:w="1240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106</w:t>
            </w:r>
          </w:p>
        </w:tc>
      </w:tr>
      <w:tr w:rsidR="00A515BB" w:rsidRPr="00A515BB" w:rsidTr="00644AE4">
        <w:trPr>
          <w:trHeight w:val="283"/>
        </w:trPr>
        <w:tc>
          <w:tcPr>
            <w:tcW w:w="7427" w:type="dxa"/>
          </w:tcPr>
          <w:p w:rsidR="00A515BB" w:rsidRPr="00A515BB" w:rsidRDefault="00A515BB" w:rsidP="00A515B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Удовлетворенность динамикой формирования инклюзивной политики</w:t>
            </w:r>
          </w:p>
        </w:tc>
        <w:tc>
          <w:tcPr>
            <w:tcW w:w="1362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</w:p>
        </w:tc>
        <w:tc>
          <w:tcPr>
            <w:tcW w:w="1240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A515BB" w:rsidRPr="00A515BB" w:rsidTr="00644AE4">
        <w:trPr>
          <w:trHeight w:val="283"/>
        </w:trPr>
        <w:tc>
          <w:tcPr>
            <w:tcW w:w="7427" w:type="dxa"/>
          </w:tcPr>
          <w:p w:rsidR="00A515BB" w:rsidRPr="00A515BB" w:rsidRDefault="00A515BB" w:rsidP="00A515B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В образовательной организации формируется инклюзивная практика</w:t>
            </w:r>
          </w:p>
        </w:tc>
        <w:tc>
          <w:tcPr>
            <w:tcW w:w="1362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1240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107</w:t>
            </w:r>
          </w:p>
        </w:tc>
      </w:tr>
      <w:tr w:rsidR="00A515BB" w:rsidRPr="00A515BB" w:rsidTr="00644AE4">
        <w:trPr>
          <w:trHeight w:val="283"/>
        </w:trPr>
        <w:tc>
          <w:tcPr>
            <w:tcW w:w="7427" w:type="dxa"/>
          </w:tcPr>
          <w:p w:rsidR="00A515BB" w:rsidRPr="00A515BB" w:rsidRDefault="00A515BB" w:rsidP="00A515B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Удовлетворенность динамикой формирования инклюзивной практики</w:t>
            </w:r>
          </w:p>
        </w:tc>
        <w:tc>
          <w:tcPr>
            <w:tcW w:w="1362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84</w:t>
            </w:r>
          </w:p>
        </w:tc>
        <w:tc>
          <w:tcPr>
            <w:tcW w:w="1240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97</w:t>
            </w:r>
          </w:p>
        </w:tc>
      </w:tr>
      <w:tr w:rsidR="00A515BB" w:rsidRPr="00A515BB" w:rsidTr="00644AE4">
        <w:trPr>
          <w:trHeight w:val="283"/>
        </w:trPr>
        <w:tc>
          <w:tcPr>
            <w:tcW w:w="7427" w:type="dxa"/>
          </w:tcPr>
          <w:p w:rsidR="00A515BB" w:rsidRPr="00A515BB" w:rsidRDefault="00A515BB" w:rsidP="00A515B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В образовательной организации создана система оценки образовательных достижений детей с ОВЗ в условиях инклюзии</w:t>
            </w:r>
          </w:p>
        </w:tc>
        <w:tc>
          <w:tcPr>
            <w:tcW w:w="1362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82</w:t>
            </w:r>
          </w:p>
        </w:tc>
        <w:tc>
          <w:tcPr>
            <w:tcW w:w="1240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93</w:t>
            </w:r>
          </w:p>
        </w:tc>
      </w:tr>
      <w:tr w:rsidR="00A515BB" w:rsidRPr="00A515BB" w:rsidTr="00644AE4">
        <w:trPr>
          <w:trHeight w:val="283"/>
        </w:trPr>
        <w:tc>
          <w:tcPr>
            <w:tcW w:w="7427" w:type="dxa"/>
          </w:tcPr>
          <w:p w:rsidR="00A515BB" w:rsidRPr="00A515BB" w:rsidRDefault="00A515BB" w:rsidP="00A515B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Удовлетворенность инструментарием системы оценки образовательных достижений детей с ОВЗ в условиях инклюзии</w:t>
            </w:r>
          </w:p>
        </w:tc>
        <w:tc>
          <w:tcPr>
            <w:tcW w:w="1362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53</w:t>
            </w:r>
          </w:p>
        </w:tc>
        <w:tc>
          <w:tcPr>
            <w:tcW w:w="1240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73</w:t>
            </w:r>
          </w:p>
        </w:tc>
      </w:tr>
      <w:tr w:rsidR="00A515BB" w:rsidRPr="00A515BB" w:rsidTr="00644AE4">
        <w:trPr>
          <w:trHeight w:val="283"/>
        </w:trPr>
        <w:tc>
          <w:tcPr>
            <w:tcW w:w="7427" w:type="dxa"/>
          </w:tcPr>
          <w:p w:rsidR="00A515BB" w:rsidRPr="00A515BB" w:rsidRDefault="00A515BB" w:rsidP="00A515B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 нуждаетесь в помощи в разработке и проведении </w:t>
            </w:r>
            <w:proofErr w:type="spellStart"/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внутришкольного</w:t>
            </w:r>
            <w:proofErr w:type="spellEnd"/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мониторинга</w:t>
            </w:r>
          </w:p>
        </w:tc>
        <w:tc>
          <w:tcPr>
            <w:tcW w:w="1362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69</w:t>
            </w:r>
          </w:p>
        </w:tc>
        <w:tc>
          <w:tcPr>
            <w:tcW w:w="1240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</w:tr>
    </w:tbl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Как видно из таблицы, эксперты считают, что динамика развития инклюзивных процессов достаточно высока.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Процесс заполнения таблиц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в 2015 году был для школ гораздо </w:t>
      </w:r>
      <w:proofErr w:type="gramStart"/>
      <w:r w:rsidRPr="00A515BB">
        <w:rPr>
          <w:rFonts w:ascii="Times New Roman" w:eastAsia="Calibri" w:hAnsi="Times New Roman" w:cs="Times New Roman"/>
          <w:sz w:val="24"/>
          <w:szCs w:val="24"/>
        </w:rPr>
        <w:t>менее  проблемным</w:t>
      </w:r>
      <w:proofErr w:type="gram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– это подтверждается и меньшим числом консультаций по требованию, и гистограммами 2, 3, 4, показывающими полноту и качество заполнения таблиц.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Следует отметить, что достаточно проблематичной остаётся зона формирования системы оценки образовательных достижений обучающихся в условиях инклюзии. </w:t>
      </w:r>
      <w:proofErr w:type="spellStart"/>
      <w:r w:rsidRPr="00A515BB">
        <w:rPr>
          <w:rFonts w:ascii="Times New Roman" w:eastAsia="Calibri" w:hAnsi="Times New Roman" w:cs="Times New Roman"/>
          <w:sz w:val="24"/>
          <w:szCs w:val="24"/>
        </w:rPr>
        <w:t>Болеечетверти</w:t>
      </w:r>
      <w:proofErr w:type="spell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школ </w:t>
      </w:r>
      <w:proofErr w:type="gramStart"/>
      <w:r w:rsidRPr="00A515BB">
        <w:rPr>
          <w:rFonts w:ascii="Times New Roman" w:eastAsia="Calibri" w:hAnsi="Times New Roman" w:cs="Times New Roman"/>
          <w:sz w:val="24"/>
          <w:szCs w:val="24"/>
        </w:rPr>
        <w:t>недовольны</w:t>
      </w:r>
      <w:proofErr w:type="gram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существующим инструментарием и испытывают потребность в его разработке. Это подтверждается содержанием запросов на помощь.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5BB" w:rsidRPr="00A515BB" w:rsidRDefault="00A515BB" w:rsidP="00A515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515BB">
        <w:rPr>
          <w:rFonts w:ascii="Times New Roman" w:eastAsia="Calibri" w:hAnsi="Times New Roman" w:cs="Times New Roman"/>
          <w:i/>
          <w:sz w:val="24"/>
          <w:szCs w:val="24"/>
        </w:rPr>
        <w:t>Гистограмма 2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89737B" wp14:editId="0E1FF47A">
            <wp:extent cx="5429250" cy="19907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5BB" w:rsidRPr="00A515BB" w:rsidRDefault="00A515BB" w:rsidP="00A515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515BB">
        <w:rPr>
          <w:rFonts w:ascii="Times New Roman" w:eastAsia="Calibri" w:hAnsi="Times New Roman" w:cs="Times New Roman"/>
          <w:i/>
          <w:sz w:val="24"/>
          <w:szCs w:val="24"/>
        </w:rPr>
        <w:t>Гистограмма 3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5062D5" wp14:editId="61EC74A5">
            <wp:extent cx="5429250" cy="19431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5BB" w:rsidRPr="00A515BB" w:rsidRDefault="00A515BB" w:rsidP="00A515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515BB">
        <w:rPr>
          <w:rFonts w:ascii="Times New Roman" w:eastAsia="Calibri" w:hAnsi="Times New Roman" w:cs="Times New Roman"/>
          <w:i/>
          <w:sz w:val="24"/>
          <w:szCs w:val="24"/>
        </w:rPr>
        <w:t>Гистограмма 4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A9A7F27" wp14:editId="740CD275">
            <wp:extent cx="5429250" cy="22193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Можно сделать вывод, что школы приняли такой подход к мониторингу и уже способны достаточно объективно оценивать свою деятельность.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На гистограмме 5 представлена оценка качества сведений, размещённых экспертами в таблицах приложений.</w:t>
      </w:r>
    </w:p>
    <w:p w:rsidR="00A515BB" w:rsidRPr="00A515BB" w:rsidRDefault="00A515BB" w:rsidP="00A515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i/>
          <w:sz w:val="24"/>
          <w:szCs w:val="24"/>
        </w:rPr>
        <w:t>Гистограмма 5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FA44D30" wp14:editId="4D31E58E">
            <wp:extent cx="5516880" cy="2743200"/>
            <wp:effectExtent l="0" t="0" r="762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Общий результат по принятию инклюзивного образования представлен на гистограмме 6.</w:t>
      </w:r>
    </w:p>
    <w:p w:rsidR="00A515BB" w:rsidRPr="00A515BB" w:rsidRDefault="00A515BB" w:rsidP="00A515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i/>
          <w:sz w:val="24"/>
          <w:szCs w:val="24"/>
        </w:rPr>
        <w:t>Гистограмма 6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B48E72C" wp14:editId="06D943CD">
            <wp:extent cx="5516880" cy="2080260"/>
            <wp:effectExtent l="0" t="0" r="762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5BB" w:rsidRPr="00A515BB" w:rsidRDefault="00A515BB" w:rsidP="00A515BB">
      <w:pPr>
        <w:spacing w:after="0"/>
        <w:rPr>
          <w:rFonts w:ascii="Times New Roman" w:eastAsia="Calibri" w:hAnsi="Times New Roman" w:cs="Times New Roman"/>
          <w:b/>
        </w:rPr>
      </w:pPr>
      <w:r w:rsidRPr="00A515BB">
        <w:rPr>
          <w:rFonts w:ascii="Times New Roman" w:eastAsia="Calibri" w:hAnsi="Times New Roman" w:cs="Times New Roman"/>
          <w:b/>
        </w:rPr>
        <w:lastRenderedPageBreak/>
        <w:t>Финансовое обеспечение инклюзивных процессов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В связи с постоянно возникающими вопросами о финансовом обеспечении участников регионального проекта </w:t>
      </w:r>
      <w:proofErr w:type="gramStart"/>
      <w:r w:rsidRPr="00A515BB">
        <w:rPr>
          <w:rFonts w:ascii="Times New Roman" w:eastAsia="Calibri" w:hAnsi="Times New Roman" w:cs="Times New Roman"/>
          <w:sz w:val="24"/>
          <w:szCs w:val="24"/>
        </w:rPr>
        <w:t>в опросник</w:t>
      </w:r>
      <w:proofErr w:type="gramEnd"/>
      <w:r w:rsidRPr="00A515BB">
        <w:rPr>
          <w:rFonts w:ascii="Times New Roman" w:eastAsia="Calibri" w:hAnsi="Times New Roman" w:cs="Times New Roman"/>
          <w:sz w:val="24"/>
          <w:szCs w:val="24"/>
        </w:rPr>
        <w:t xml:space="preserve"> были включены утверждения о финансировании школ в соответствии с поправочными коэффициентами (таблица 2). </w:t>
      </w:r>
    </w:p>
    <w:p w:rsidR="00A515BB" w:rsidRPr="00A515BB" w:rsidRDefault="00A515BB" w:rsidP="00A515B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515BB">
        <w:rPr>
          <w:rFonts w:ascii="Times New Roman" w:eastAsia="Calibri" w:hAnsi="Times New Roman" w:cs="Times New Roman"/>
          <w:i/>
          <w:sz w:val="24"/>
          <w:szCs w:val="24"/>
        </w:rPr>
        <w:t>Таблица 2</w:t>
      </w: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7268"/>
        <w:gridCol w:w="1126"/>
        <w:gridCol w:w="1353"/>
      </w:tblGrid>
      <w:tr w:rsidR="00A515BB" w:rsidRPr="00A515BB" w:rsidTr="00644AE4">
        <w:tc>
          <w:tcPr>
            <w:tcW w:w="7504" w:type="dxa"/>
            <w:vMerge w:val="restart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Утверждения</w:t>
            </w:r>
          </w:p>
        </w:tc>
        <w:tc>
          <w:tcPr>
            <w:tcW w:w="2525" w:type="dxa"/>
            <w:gridSpan w:val="2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школ</w:t>
            </w:r>
          </w:p>
        </w:tc>
      </w:tr>
      <w:tr w:rsidR="00A515BB" w:rsidRPr="00A515BB" w:rsidTr="00644AE4">
        <w:tc>
          <w:tcPr>
            <w:tcW w:w="7504" w:type="dxa"/>
            <w:vMerge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4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1381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</w:t>
            </w:r>
          </w:p>
        </w:tc>
      </w:tr>
      <w:tr w:rsidR="00A515BB" w:rsidRPr="00A515BB" w:rsidTr="00644AE4">
        <w:tc>
          <w:tcPr>
            <w:tcW w:w="7504" w:type="dxa"/>
          </w:tcPr>
          <w:p w:rsidR="00A515BB" w:rsidRPr="00A515BB" w:rsidRDefault="00A515BB" w:rsidP="00A515B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школ, получающих финансирование в соответствии с поправочным коэффициентом 2,0</w:t>
            </w:r>
          </w:p>
        </w:tc>
        <w:tc>
          <w:tcPr>
            <w:tcW w:w="1144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58</w:t>
            </w:r>
          </w:p>
        </w:tc>
        <w:tc>
          <w:tcPr>
            <w:tcW w:w="1381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62</w:t>
            </w:r>
          </w:p>
        </w:tc>
      </w:tr>
      <w:tr w:rsidR="00A515BB" w:rsidRPr="00A515BB" w:rsidTr="00644AE4">
        <w:tc>
          <w:tcPr>
            <w:tcW w:w="7504" w:type="dxa"/>
          </w:tcPr>
          <w:p w:rsidR="00A515BB" w:rsidRPr="00A515BB" w:rsidRDefault="00A515BB" w:rsidP="00A515B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школ, получающих финансирование в соответствии с  поправочным коэффициентом 1,18</w:t>
            </w:r>
          </w:p>
        </w:tc>
        <w:tc>
          <w:tcPr>
            <w:tcW w:w="1144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75</w:t>
            </w:r>
          </w:p>
        </w:tc>
        <w:tc>
          <w:tcPr>
            <w:tcW w:w="1381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79</w:t>
            </w:r>
          </w:p>
        </w:tc>
      </w:tr>
      <w:tr w:rsidR="00A515BB" w:rsidRPr="00A515BB" w:rsidTr="00644AE4">
        <w:tc>
          <w:tcPr>
            <w:tcW w:w="7504" w:type="dxa"/>
          </w:tcPr>
          <w:p w:rsidR="00A515BB" w:rsidRPr="00A515BB" w:rsidRDefault="00A515BB" w:rsidP="00A515B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школ, получающих финансирование  в соответствии с поправочным коэффициентом 2,0 +1,18</w:t>
            </w:r>
          </w:p>
        </w:tc>
        <w:tc>
          <w:tcPr>
            <w:tcW w:w="1144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</w:p>
        </w:tc>
        <w:tc>
          <w:tcPr>
            <w:tcW w:w="1381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63</w:t>
            </w:r>
          </w:p>
        </w:tc>
      </w:tr>
      <w:tr w:rsidR="00A515BB" w:rsidRPr="00A515BB" w:rsidTr="00644AE4">
        <w:tc>
          <w:tcPr>
            <w:tcW w:w="7504" w:type="dxa"/>
          </w:tcPr>
          <w:p w:rsidR="00A515BB" w:rsidRPr="00A515BB" w:rsidRDefault="00A515BB" w:rsidP="00A515B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школ, не получающих финансирование за счёт поправочных коэффициентов 2,0 и 1,18</w:t>
            </w:r>
          </w:p>
        </w:tc>
        <w:tc>
          <w:tcPr>
            <w:tcW w:w="1144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381" w:type="dxa"/>
            <w:vAlign w:val="center"/>
          </w:tcPr>
          <w:p w:rsidR="00A515BB" w:rsidRPr="00A515BB" w:rsidRDefault="00A515BB" w:rsidP="00A515BB">
            <w:pPr>
              <w:jc w:val="center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A515BB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</w:tr>
    </w:tbl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Как видно из таблицы, количество школ, получающих оба поправочных коэффициента, увеличилось в полтора раза. Тем не менее, школ, не получающих финансирования вообще, стало меньше всего на две.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Основная проблема здесь в недостаточной компетентности как директоров ОО, так и районных экономистов.</w:t>
      </w:r>
    </w:p>
    <w:p w:rsidR="00A515BB" w:rsidRPr="00A515BB" w:rsidRDefault="00A515BB" w:rsidP="00A515B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Планирование сопровождения регионального проекта в 2015 году будет проводиться с учётом запрашиваемых услуг.</w:t>
      </w: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15BB" w:rsidRPr="00A515BB" w:rsidRDefault="00A515BB" w:rsidP="00A515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BB">
        <w:rPr>
          <w:rFonts w:ascii="Times New Roman" w:eastAsia="Calibri" w:hAnsi="Times New Roman" w:cs="Times New Roman"/>
          <w:sz w:val="24"/>
          <w:szCs w:val="24"/>
        </w:rPr>
        <w:t>Более глубокий и содержательный анализ полученных данных будет проведён в январе 2016 года.</w:t>
      </w:r>
    </w:p>
    <w:p w:rsidR="00A515BB" w:rsidRPr="00A515BB" w:rsidRDefault="00A515BB" w:rsidP="00A515B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15BB">
        <w:rPr>
          <w:rFonts w:ascii="Times New Roman" w:eastAsia="Calibri" w:hAnsi="Times New Roman" w:cs="Times New Roman"/>
          <w:sz w:val="28"/>
          <w:szCs w:val="28"/>
        </w:rPr>
        <w:br w:type="page"/>
      </w:r>
      <w:bookmarkStart w:id="1" w:name="_GoBack"/>
      <w:bookmarkEnd w:id="1"/>
    </w:p>
    <w:p w:rsidR="00602A33" w:rsidRDefault="00602A33"/>
    <w:sectPr w:rsidR="0060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1C34"/>
    <w:multiLevelType w:val="hybridMultilevel"/>
    <w:tmpl w:val="5E1E0FDA"/>
    <w:lvl w:ilvl="0" w:tplc="536CE3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D243357"/>
    <w:multiLevelType w:val="hybridMultilevel"/>
    <w:tmpl w:val="9C085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42BE7"/>
    <w:multiLevelType w:val="hybridMultilevel"/>
    <w:tmpl w:val="0FA0B100"/>
    <w:lvl w:ilvl="0" w:tplc="536CE3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FDE33CF"/>
    <w:multiLevelType w:val="multilevel"/>
    <w:tmpl w:val="291A2E1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3"/>
      <w:numFmt w:val="decimal"/>
      <w:isLgl/>
      <w:lvlText w:val="%1.%2."/>
      <w:lvlJc w:val="left"/>
      <w:pPr>
        <w:ind w:left="112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4">
    <w:nsid w:val="44C91667"/>
    <w:multiLevelType w:val="hybridMultilevel"/>
    <w:tmpl w:val="4D18133A"/>
    <w:lvl w:ilvl="0" w:tplc="5A4EE9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7B"/>
    <w:rsid w:val="00602A33"/>
    <w:rsid w:val="00A515BB"/>
    <w:rsid w:val="00F9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15B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5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15B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5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8;&#1072;&#1090;&#1100;&#1103;&#1085;&#1072;\Documents\&#1056;&#1072;&#1073;&#1086;&#1090;&#1072;\&#1054;&#1090;&#1095;&#1105;&#1090;%202015\&#1057;&#1074;&#1086;&#1076;%20&#1086;&#1094;&#1077;&#1085;&#1086;&#1082;%20&#1084;&#1077;&#1090;&#1086;&#1076;&#1080;&#1089;&#1090;&#1086;&#1074;%20&#1048;&#1064;%202015%20&#1085;&#1072;%2023.12.2015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8;&#1072;&#1090;&#1100;&#1103;&#1085;&#1072;\Documents\&#1056;&#1072;&#1073;&#1086;&#1090;&#1072;\&#1054;&#1090;&#1095;&#1105;&#1090;%202015\&#1057;&#1074;&#1086;&#1076;%20&#1086;&#1094;&#1077;&#1085;&#1086;&#1082;%20&#1084;&#1077;&#1090;&#1086;&#1076;&#1080;&#1089;&#1090;&#1086;&#1074;%20&#1048;&#1064;%202015%20&#1085;&#1072;%2023.12.2015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8;&#1072;&#1090;&#1100;&#1103;&#1085;&#1072;\Documents\&#1056;&#1072;&#1073;&#1086;&#1090;&#1072;\&#1054;&#1090;&#1095;&#1105;&#1090;%202015\&#1057;&#1074;&#1086;&#1076;%20&#1086;&#1094;&#1077;&#1085;&#1086;&#1082;%20&#1084;&#1077;&#1090;&#1086;&#1076;&#1080;&#1089;&#1090;&#1086;&#1074;%20&#1048;&#1064;%202015%20&#1085;&#1072;%2023.12.2015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8;&#1072;&#1090;&#1100;&#1103;&#1085;&#1072;\Documents\&#1056;&#1072;&#1073;&#1086;&#1090;&#1072;\&#1054;&#1090;&#1095;&#1105;&#1090;%202015\&#1057;&#1074;&#1086;&#1076;%20&#1086;&#1094;&#1077;&#1085;&#1086;&#1082;%20&#1084;&#1077;&#1090;&#1086;&#1076;&#1080;&#1089;&#1090;&#1086;&#1074;%20&#1048;&#1064;%202015%20&#1085;&#1072;%2023.12.2015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Степень удовлетворенности экспертов внутришкольнм мониторингом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Оценки!$B$112:$B$115</c:f>
              <c:strCache>
                <c:ptCount val="4"/>
                <c:pt idx="1">
                  <c:v>высокая</c:v>
                </c:pt>
                <c:pt idx="2">
                  <c:v>средняя</c:v>
                </c:pt>
                <c:pt idx="3">
                  <c:v>низкая</c:v>
                </c:pt>
              </c:strCache>
            </c:strRef>
          </c:cat>
          <c:val>
            <c:numRef>
              <c:f>Оценки!$C$112:$C$115</c:f>
              <c:numCache>
                <c:formatCode>General</c:formatCode>
                <c:ptCount val="4"/>
                <c:pt idx="0">
                  <c:v>30</c:v>
                </c:pt>
                <c:pt idx="1">
                  <c:v>23</c:v>
                </c:pt>
                <c:pt idx="2">
                  <c:v>47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5332992"/>
        <c:axId val="325334528"/>
      </c:barChart>
      <c:catAx>
        <c:axId val="325332992"/>
        <c:scaling>
          <c:orientation val="minMax"/>
        </c:scaling>
        <c:delete val="0"/>
        <c:axPos val="b"/>
        <c:majorTickMark val="out"/>
        <c:minorTickMark val="none"/>
        <c:tickLblPos val="nextTo"/>
        <c:crossAx val="325334528"/>
        <c:crosses val="autoZero"/>
        <c:auto val="1"/>
        <c:lblAlgn val="ctr"/>
        <c:lblOffset val="100"/>
        <c:noMultiLvlLbl val="0"/>
      </c:catAx>
      <c:valAx>
        <c:axId val="325334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533299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Заполнение таблицы критериев и показателей (таблица 1)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Оценки!$D$112</c:f>
              <c:strCache>
                <c:ptCount val="1"/>
                <c:pt idx="0">
                  <c:v>Полнота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Оценки!$B$113:$B$115</c:f>
              <c:strCache>
                <c:ptCount val="3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</c:strCache>
            </c:strRef>
          </c:cat>
          <c:val>
            <c:numRef>
              <c:f>Оценки!$D$113:$D$115</c:f>
              <c:numCache>
                <c:formatCode>General</c:formatCode>
                <c:ptCount val="3"/>
                <c:pt idx="0">
                  <c:v>71</c:v>
                </c:pt>
                <c:pt idx="1">
                  <c:v>18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Оценки!$E$112</c:f>
              <c:strCache>
                <c:ptCount val="1"/>
                <c:pt idx="0">
                  <c:v>Качество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Оценки!$B$113:$B$115</c:f>
              <c:strCache>
                <c:ptCount val="3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</c:strCache>
            </c:strRef>
          </c:cat>
          <c:val>
            <c:numRef>
              <c:f>Оценки!$E$113:$E$115</c:f>
              <c:numCache>
                <c:formatCode>General</c:formatCode>
                <c:ptCount val="3"/>
                <c:pt idx="0">
                  <c:v>35</c:v>
                </c:pt>
                <c:pt idx="1">
                  <c:v>39</c:v>
                </c:pt>
                <c:pt idx="2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5360256"/>
        <c:axId val="325370240"/>
      </c:barChart>
      <c:catAx>
        <c:axId val="325360256"/>
        <c:scaling>
          <c:orientation val="minMax"/>
        </c:scaling>
        <c:delete val="0"/>
        <c:axPos val="b"/>
        <c:majorTickMark val="out"/>
        <c:minorTickMark val="none"/>
        <c:tickLblPos val="nextTo"/>
        <c:crossAx val="325370240"/>
        <c:crosses val="autoZero"/>
        <c:auto val="1"/>
        <c:lblAlgn val="ctr"/>
        <c:lblOffset val="100"/>
        <c:noMultiLvlLbl val="0"/>
      </c:catAx>
      <c:valAx>
        <c:axId val="325370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5360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Заполнение таблицы образовательных достижений (таблица 2)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Оценки!$F$112</c:f>
              <c:strCache>
                <c:ptCount val="1"/>
                <c:pt idx="0">
                  <c:v>Полнота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cat>
            <c:strRef>
              <c:f>Оценки!$B$113:$B$115</c:f>
              <c:strCache>
                <c:ptCount val="3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</c:strCache>
            </c:strRef>
          </c:cat>
          <c:val>
            <c:numRef>
              <c:f>Оценки!$F$113:$F$115</c:f>
              <c:numCache>
                <c:formatCode>General</c:formatCode>
                <c:ptCount val="3"/>
                <c:pt idx="0">
                  <c:v>65</c:v>
                </c:pt>
                <c:pt idx="1">
                  <c:v>27</c:v>
                </c:pt>
                <c:pt idx="2">
                  <c:v>16</c:v>
                </c:pt>
              </c:numCache>
            </c:numRef>
          </c:val>
        </c:ser>
        <c:ser>
          <c:idx val="1"/>
          <c:order val="1"/>
          <c:tx>
            <c:strRef>
              <c:f>Оценки!$G$112</c:f>
              <c:strCache>
                <c:ptCount val="1"/>
                <c:pt idx="0">
                  <c:v>Качество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cat>
            <c:strRef>
              <c:f>Оценки!$B$113:$B$115</c:f>
              <c:strCache>
                <c:ptCount val="3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</c:strCache>
            </c:strRef>
          </c:cat>
          <c:val>
            <c:numRef>
              <c:f>Оценки!$G$113:$G$115</c:f>
              <c:numCache>
                <c:formatCode>General</c:formatCode>
                <c:ptCount val="3"/>
                <c:pt idx="0">
                  <c:v>40</c:v>
                </c:pt>
                <c:pt idx="1">
                  <c:v>38</c:v>
                </c:pt>
                <c:pt idx="2">
                  <c:v>30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35296768"/>
        <c:axId val="335314944"/>
      </c:barChart>
      <c:catAx>
        <c:axId val="335296768"/>
        <c:scaling>
          <c:orientation val="minMax"/>
        </c:scaling>
        <c:delete val="0"/>
        <c:axPos val="b"/>
        <c:majorTickMark val="out"/>
        <c:minorTickMark val="none"/>
        <c:tickLblPos val="nextTo"/>
        <c:crossAx val="335314944"/>
        <c:crosses val="autoZero"/>
        <c:auto val="1"/>
        <c:lblAlgn val="ctr"/>
        <c:lblOffset val="100"/>
        <c:noMultiLvlLbl val="0"/>
      </c:catAx>
      <c:valAx>
        <c:axId val="335314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5296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Заполнение</a:t>
            </a:r>
            <a:r>
              <a:rPr lang="ru-RU" sz="1400" baseline="0"/>
              <a:t> таблицы запроса на помощь (таблица 3)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Оценки!$H$112</c:f>
              <c:strCache>
                <c:ptCount val="1"/>
                <c:pt idx="0">
                  <c:v>Полнота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cat>
            <c:strRef>
              <c:f>Оценки!$B$113:$B$115</c:f>
              <c:strCache>
                <c:ptCount val="3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</c:strCache>
            </c:strRef>
          </c:cat>
          <c:val>
            <c:numRef>
              <c:f>Оценки!$H$113:$H$115</c:f>
              <c:numCache>
                <c:formatCode>General</c:formatCode>
                <c:ptCount val="3"/>
                <c:pt idx="0">
                  <c:v>50</c:v>
                </c:pt>
                <c:pt idx="1">
                  <c:v>25</c:v>
                </c:pt>
                <c:pt idx="2">
                  <c:v>33</c:v>
                </c:pt>
              </c:numCache>
            </c:numRef>
          </c:val>
        </c:ser>
        <c:ser>
          <c:idx val="1"/>
          <c:order val="1"/>
          <c:tx>
            <c:strRef>
              <c:f>Оценки!$I$112</c:f>
              <c:strCache>
                <c:ptCount val="1"/>
                <c:pt idx="0">
                  <c:v>Качество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cat>
            <c:strRef>
              <c:f>Оценки!$B$113:$B$115</c:f>
              <c:strCache>
                <c:ptCount val="3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</c:strCache>
            </c:strRef>
          </c:cat>
          <c:val>
            <c:numRef>
              <c:f>Оценки!$I$113:$I$115</c:f>
              <c:numCache>
                <c:formatCode>General</c:formatCode>
                <c:ptCount val="3"/>
                <c:pt idx="0">
                  <c:v>49</c:v>
                </c:pt>
                <c:pt idx="1">
                  <c:v>24</c:v>
                </c:pt>
                <c:pt idx="2">
                  <c:v>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35341440"/>
        <c:axId val="335342976"/>
      </c:barChart>
      <c:catAx>
        <c:axId val="335341440"/>
        <c:scaling>
          <c:orientation val="minMax"/>
        </c:scaling>
        <c:delete val="0"/>
        <c:axPos val="b"/>
        <c:majorTickMark val="out"/>
        <c:minorTickMark val="none"/>
        <c:tickLblPos val="nextTo"/>
        <c:crossAx val="335342976"/>
        <c:crosses val="autoZero"/>
        <c:auto val="1"/>
        <c:lblAlgn val="ctr"/>
        <c:lblOffset val="100"/>
        <c:noMultiLvlLbl val="0"/>
      </c:catAx>
      <c:valAx>
        <c:axId val="335342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5341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Оценка</a:t>
            </a:r>
            <a:r>
              <a:rPr lang="ru-RU" sz="1400" baseline="0"/>
              <a:t> качества </a:t>
            </a:r>
            <a:r>
              <a:rPr lang="ru-RU" sz="1400"/>
              <a:t>сведений, </a:t>
            </a:r>
            <a:br>
              <a:rPr lang="ru-RU" sz="1400"/>
            </a:br>
            <a:r>
              <a:rPr lang="ru-RU" sz="1400"/>
              <a:t>представленных экспертами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Оценки!$J$112</c:f>
              <c:strCache>
                <c:ptCount val="1"/>
                <c:pt idx="0">
                  <c:v>Достоверность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Оценки!$A$113:$A$115</c:f>
              <c:strCache>
                <c:ptCount val="3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</c:strCache>
            </c:strRef>
          </c:cat>
          <c:val>
            <c:numRef>
              <c:f>Оценки!$J$113:$J$115</c:f>
              <c:numCache>
                <c:formatCode>General</c:formatCode>
                <c:ptCount val="3"/>
                <c:pt idx="0">
                  <c:v>63</c:v>
                </c:pt>
                <c:pt idx="1">
                  <c:v>31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Оценки!$L$112</c:f>
              <c:strCache>
                <c:ptCount val="1"/>
                <c:pt idx="0">
                  <c:v>Объективность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Оценки!$A$113:$A$115</c:f>
              <c:strCache>
                <c:ptCount val="3"/>
                <c:pt idx="0">
                  <c:v>высокая</c:v>
                </c:pt>
                <c:pt idx="1">
                  <c:v>средняя</c:v>
                </c:pt>
                <c:pt idx="2">
                  <c:v>низкая</c:v>
                </c:pt>
              </c:strCache>
            </c:strRef>
          </c:cat>
          <c:val>
            <c:numRef>
              <c:f>Оценки!$L$113:$L$115</c:f>
              <c:numCache>
                <c:formatCode>General</c:formatCode>
                <c:ptCount val="3"/>
                <c:pt idx="0">
                  <c:v>35</c:v>
                </c:pt>
                <c:pt idx="1">
                  <c:v>48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619008"/>
        <c:axId val="186620544"/>
      </c:barChart>
      <c:catAx>
        <c:axId val="186619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86620544"/>
        <c:crosses val="autoZero"/>
        <c:auto val="1"/>
        <c:lblAlgn val="ctr"/>
        <c:lblOffset val="100"/>
        <c:noMultiLvlLbl val="0"/>
      </c:catAx>
      <c:valAx>
        <c:axId val="186620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619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Уровень принятия инклюзии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Оценки!$A$113:$A$115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Оценки!$M$113:$M$115</c:f>
              <c:numCache>
                <c:formatCode>General</c:formatCode>
                <c:ptCount val="3"/>
                <c:pt idx="0">
                  <c:v>59</c:v>
                </c:pt>
                <c:pt idx="1">
                  <c:v>45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604544"/>
        <c:axId val="339952384"/>
      </c:barChart>
      <c:catAx>
        <c:axId val="186604544"/>
        <c:scaling>
          <c:orientation val="minMax"/>
        </c:scaling>
        <c:delete val="0"/>
        <c:axPos val="b"/>
        <c:majorTickMark val="out"/>
        <c:minorTickMark val="none"/>
        <c:tickLblPos val="nextTo"/>
        <c:crossAx val="339952384"/>
        <c:crosses val="autoZero"/>
        <c:auto val="1"/>
        <c:lblAlgn val="ctr"/>
        <c:lblOffset val="100"/>
        <c:noMultiLvlLbl val="0"/>
      </c:catAx>
      <c:valAx>
        <c:axId val="339952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60454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2462</Words>
  <Characters>14036</Characters>
  <Application>Microsoft Office Word</Application>
  <DocSecurity>0</DocSecurity>
  <Lines>116</Lines>
  <Paragraphs>32</Paragraphs>
  <ScaleCrop>false</ScaleCrop>
  <Company/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2016-01-26T06:50:00Z</dcterms:created>
  <dcterms:modified xsi:type="dcterms:W3CDTF">2016-01-26T06:51:00Z</dcterms:modified>
</cp:coreProperties>
</file>